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Temi di interesse docenti cdl Politiche e Servizi Sociali</w:t>
      </w:r>
    </w:p>
    <w:p w:rsid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Aggiornato al 10/10/2018</w:t>
      </w:r>
    </w:p>
    <w:p w:rsidR="00483CFC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483CFC">
        <w:rPr>
          <w:rFonts w:ascii="Cambria" w:hAnsi="Cambria"/>
          <w:b/>
          <w:sz w:val="24"/>
          <w:szCs w:val="24"/>
        </w:rPr>
        <w:t>Riverditi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(Soggetti deboli e tutela dei diritti):</w:t>
      </w:r>
    </w:p>
    <w:p w:rsidR="00483CFC" w:rsidRDefault="008F7F5D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/>
          <w:sz w:val="24"/>
          <w:szCs w:val="24"/>
        </w:rPr>
        <w:t xml:space="preserve"> </w:t>
      </w:r>
      <w:r w:rsidR="00166C24" w:rsidRPr="00483CFC">
        <w:rPr>
          <w:rFonts w:ascii="Cambria" w:hAnsi="Cambria"/>
          <w:sz w:val="24"/>
          <w:szCs w:val="24"/>
        </w:rPr>
        <w:t>d</w:t>
      </w:r>
      <w:r w:rsidR="00166C24"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isponibilità </w:t>
      </w:r>
      <w:r w:rsidR="00166C24" w:rsidRPr="00483CFC">
        <w:rPr>
          <w:rStyle w:val="il"/>
          <w:rFonts w:ascii="Cambria" w:hAnsi="Cambria" w:cs="Arial"/>
          <w:color w:val="222222"/>
          <w:sz w:val="24"/>
          <w:szCs w:val="24"/>
          <w:shd w:val="clear" w:color="auto" w:fill="FFFFFF"/>
        </w:rPr>
        <w:t>di</w:t>
      </w:r>
      <w:r w:rsidR="00166C24"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un magistrato della Procura della Repubblica </w:t>
      </w:r>
      <w:r w:rsidR="00166C24" w:rsidRPr="00483CFC">
        <w:rPr>
          <w:rStyle w:val="il"/>
          <w:rFonts w:ascii="Cambria" w:hAnsi="Cambria" w:cs="Arial"/>
          <w:color w:val="222222"/>
          <w:sz w:val="24"/>
          <w:szCs w:val="24"/>
          <w:shd w:val="clear" w:color="auto" w:fill="FFFFFF"/>
        </w:rPr>
        <w:t>di</w:t>
      </w:r>
      <w:r w:rsidR="00166C24"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 Asti </w:t>
      </w:r>
    </w:p>
    <w:p w:rsidR="00166C24" w:rsidRPr="00483CFC" w:rsidRDefault="00166C24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483CFC">
        <w:rPr>
          <w:rStyle w:val="il"/>
          <w:rFonts w:ascii="Cambria" w:hAnsi="Cambria" w:cs="Arial"/>
          <w:color w:val="222222"/>
          <w:sz w:val="24"/>
          <w:szCs w:val="24"/>
          <w:shd w:val="clear" w:color="auto" w:fill="FFFFFF"/>
        </w:rPr>
        <w:t>temi</w:t>
      </w:r>
      <w:r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connessi ai reati rientranti nella c</w:t>
      </w:r>
      <w:r w:rsid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.d. fascia dei soggetti deboli</w:t>
      </w:r>
    </w:p>
    <w:p w:rsidR="00483CFC" w:rsidRPr="00483CFC" w:rsidRDefault="00483CFC" w:rsidP="00483CFC">
      <w:pPr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Long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(Soggetti deboli e tutela dei diritti):</w:t>
      </w:r>
    </w:p>
    <w:p w:rsidR="00166C24" w:rsidRDefault="00166C24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Garante regionale per l'infanzia e l'adolescenza sui minori stranieri non accompagnati </w:t>
      </w:r>
    </w:p>
    <w:p w:rsidR="00483CFC" w:rsidRPr="00483CFC" w:rsidRDefault="00483CFC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Trattamento sanitario obbligatorio</w:t>
      </w:r>
    </w:p>
    <w:p w:rsidR="00166C24" w:rsidRPr="00483CFC" w:rsidRDefault="00166C24" w:rsidP="00483CFC">
      <w:pPr>
        <w:jc w:val="both"/>
        <w:rPr>
          <w:rFonts w:ascii="Cambria" w:hAnsi="Cambria"/>
          <w:sz w:val="24"/>
          <w:szCs w:val="24"/>
        </w:rPr>
      </w:pPr>
    </w:p>
    <w:p w:rsidR="00483CFC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483CFC">
        <w:rPr>
          <w:rFonts w:ascii="Cambria" w:hAnsi="Cambria"/>
          <w:b/>
          <w:sz w:val="24"/>
          <w:szCs w:val="24"/>
        </w:rPr>
        <w:t>Todesco</w:t>
      </w:r>
      <w:proofErr w:type="spellEnd"/>
      <w:r>
        <w:rPr>
          <w:rFonts w:ascii="Cambria" w:hAnsi="Cambria"/>
          <w:b/>
          <w:sz w:val="24"/>
          <w:szCs w:val="24"/>
        </w:rPr>
        <w:t xml:space="preserve"> (Fonti, metodi per lo studio delle politiche sociali):</w:t>
      </w:r>
    </w:p>
    <w:p w:rsidR="00483CFC" w:rsidRDefault="00166C24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/>
          <w:sz w:val="24"/>
          <w:szCs w:val="24"/>
        </w:rPr>
        <w:t xml:space="preserve"> </w:t>
      </w:r>
      <w:r w:rsid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l'instabilità coniugale</w:t>
      </w:r>
    </w:p>
    <w:p w:rsidR="00166C24" w:rsidRPr="00483CFC" w:rsidRDefault="00166C24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disponibilità </w:t>
      </w:r>
      <w:r w:rsid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trasversale </w:t>
      </w:r>
      <w:r w:rsidRPr="00483CFC">
        <w:rPr>
          <w:rStyle w:val="il"/>
          <w:rFonts w:ascii="Cambria" w:hAnsi="Cambria" w:cs="Arial"/>
          <w:color w:val="222222"/>
          <w:sz w:val="24"/>
          <w:szCs w:val="24"/>
          <w:shd w:val="clear" w:color="auto" w:fill="FFFFFF"/>
        </w:rPr>
        <w:t>di</w:t>
      </w:r>
      <w:r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tipo metodologico.</w:t>
      </w:r>
    </w:p>
    <w:p w:rsidR="00166C24" w:rsidRPr="00483CFC" w:rsidRDefault="00166C24" w:rsidP="00483CFC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080409" w:rsidRPr="00483CFC" w:rsidRDefault="00483CFC" w:rsidP="00483CFC">
      <w:pPr>
        <w:shd w:val="clear" w:color="auto" w:fill="FFFFFF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483CFC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Palmisano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(Culture organizzative):</w:t>
      </w:r>
    </w:p>
    <w:p w:rsidR="00166C24" w:rsidRPr="00483CFC" w:rsidRDefault="00166C24" w:rsidP="00483CFC">
      <w:pPr>
        <w:shd w:val="clear" w:color="auto" w:fill="FFFFFF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483CF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Il neoistituzionalismo nell’analisi organizzativa</w:t>
      </w:r>
    </w:p>
    <w:p w:rsidR="00166C24" w:rsidRPr="00483CFC" w:rsidRDefault="00166C24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Culture organizzative</w:t>
      </w:r>
    </w:p>
    <w:p w:rsidR="00166C24" w:rsidRPr="00483CFC" w:rsidRDefault="00166C24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Il potere, come gestione dei margini di incertezza</w:t>
      </w:r>
    </w:p>
    <w:p w:rsidR="00166C24" w:rsidRPr="00483CFC" w:rsidRDefault="00166C24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 xml:space="preserve">Burocrazie/ Organizzazioni minimali </w:t>
      </w:r>
      <w:proofErr w:type="gramStart"/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e “</w:t>
      </w:r>
      <w:proofErr w:type="gramEnd"/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carriere senza confini”</w:t>
      </w:r>
    </w:p>
    <w:p w:rsidR="00166C24" w:rsidRPr="00483CFC" w:rsidRDefault="00166C24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Il dilemma tra disciplina e competenza nell’analisi organizzativa</w:t>
      </w:r>
    </w:p>
    <w:p w:rsidR="00B069CF" w:rsidRPr="00483CFC" w:rsidRDefault="00B069CF" w:rsidP="00483CF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069CF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483CFC">
        <w:rPr>
          <w:rFonts w:ascii="Cambria" w:hAnsi="Cambria"/>
          <w:b/>
          <w:sz w:val="24"/>
          <w:szCs w:val="24"/>
        </w:rPr>
        <w:t>Caponio</w:t>
      </w:r>
      <w:proofErr w:type="spellEnd"/>
      <w:r>
        <w:rPr>
          <w:rFonts w:ascii="Cambria" w:hAnsi="Cambria"/>
          <w:b/>
          <w:sz w:val="24"/>
          <w:szCs w:val="24"/>
        </w:rPr>
        <w:t xml:space="preserve"> (sospeso fino al 2019)</w:t>
      </w:r>
    </w:p>
    <w:p w:rsidR="00544BA1" w:rsidRPr="00483CFC" w:rsidRDefault="00544BA1" w:rsidP="00483CF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483CFC">
        <w:rPr>
          <w:rFonts w:ascii="Cambria" w:eastAsia="Times New Roman" w:hAnsi="Cambria" w:cs="Times New Roman"/>
          <w:sz w:val="24"/>
          <w:szCs w:val="24"/>
          <w:lang w:eastAsia="it-IT"/>
        </w:rPr>
        <w:t>- Progetti e reti di integrazione dei migranti e richiedenti asilo di amministrazioni pubbliche e/o enti del terzo settore</w:t>
      </w:r>
    </w:p>
    <w:p w:rsidR="00544BA1" w:rsidRPr="00483CFC" w:rsidRDefault="00544BA1" w:rsidP="00483CF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483CF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 Progetti e reti di accoglienza di migranti e richiedenti asilo sul territorio, sia </w:t>
      </w:r>
      <w:proofErr w:type="spellStart"/>
      <w:r w:rsidRPr="00483CFC">
        <w:rPr>
          <w:rFonts w:ascii="Cambria" w:eastAsia="Times New Roman" w:hAnsi="Cambria" w:cs="Times New Roman"/>
          <w:sz w:val="24"/>
          <w:szCs w:val="24"/>
          <w:lang w:eastAsia="it-IT"/>
        </w:rPr>
        <w:t>Sprar</w:t>
      </w:r>
      <w:proofErr w:type="spellEnd"/>
      <w:r w:rsidRPr="00483CF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che servizi gestiti per conto delle prefetture (CAS o altro)</w:t>
      </w:r>
    </w:p>
    <w:p w:rsidR="00544BA1" w:rsidRPr="00483CFC" w:rsidRDefault="00544BA1" w:rsidP="00483CF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483CFC">
        <w:rPr>
          <w:rFonts w:ascii="Cambria" w:eastAsia="Times New Roman" w:hAnsi="Cambria" w:cs="Times New Roman"/>
          <w:sz w:val="24"/>
          <w:szCs w:val="24"/>
          <w:lang w:eastAsia="it-IT"/>
        </w:rPr>
        <w:t>- Programmazione regionale in tema di integrazione degli immigrati, con particolare attenzione alle sperimentazioni sui corsi di lingua italiana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222222"/>
          <w:sz w:val="24"/>
          <w:szCs w:val="24"/>
          <w:highlight w:val="white"/>
        </w:rPr>
        <w:t>'Ufficio Stranieri del Comune di Torino e la Prefettura, con cui credo delle relazioni ci siano già. Ci sono poi una miriade di associazioni che si occupano dei progetti per i rifugiati e spesso gli studenti le conoscono meglio di me, per me questi enti sono sicuramente interessanti.</w:t>
      </w:r>
    </w:p>
    <w:p w:rsidR="00080409" w:rsidRPr="00483CFC" w:rsidRDefault="00080409" w:rsidP="00483CFC">
      <w:pPr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080409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Paladini</w:t>
      </w:r>
      <w:r>
        <w:rPr>
          <w:rFonts w:ascii="Cambria" w:hAnsi="Cambria"/>
          <w:b/>
          <w:sz w:val="24"/>
          <w:szCs w:val="24"/>
        </w:rPr>
        <w:t xml:space="preserve"> (Storia della marginalità e dell’assistenza):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area dei servizi in salute mentale e del processo di deistituzionalizzazione psichiatrica, compresa questione del superamento degli OPG e caratteristiche delle REMS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lastRenderedPageBreak/>
        <w:t xml:space="preserve">- aree di intervento socio-assistenziale già caratterizzate dall'egemonia del paradigma </w:t>
      </w:r>
      <w:proofErr w:type="spellStart"/>
      <w:r w:rsidRPr="00483CFC">
        <w:rPr>
          <w:rFonts w:ascii="Cambria" w:eastAsia="Arial" w:hAnsi="Cambria" w:cs="Arial"/>
          <w:color w:val="222222"/>
          <w:sz w:val="24"/>
          <w:szCs w:val="24"/>
        </w:rPr>
        <w:t>custodialistico</w:t>
      </w:r>
      <w:proofErr w:type="spellEnd"/>
      <w:r w:rsidRPr="00483CFC">
        <w:rPr>
          <w:rFonts w:ascii="Cambria" w:eastAsia="Arial" w:hAnsi="Cambria" w:cs="Arial"/>
          <w:color w:val="222222"/>
          <w:sz w:val="24"/>
          <w:szCs w:val="24"/>
        </w:rPr>
        <w:t xml:space="preserve">: infanzia abbandonata; minore età e devianza; disagio scolastico; anziani non </w:t>
      </w:r>
      <w:proofErr w:type="spellStart"/>
      <w:proofErr w:type="gramStart"/>
      <w:r w:rsidRPr="00483CFC">
        <w:rPr>
          <w:rFonts w:ascii="Cambria" w:eastAsia="Arial" w:hAnsi="Cambria" w:cs="Arial"/>
          <w:color w:val="222222"/>
          <w:sz w:val="24"/>
          <w:szCs w:val="24"/>
        </w:rPr>
        <w:t>autosufficienti;disabilità</w:t>
      </w:r>
      <w:proofErr w:type="spellEnd"/>
      <w:proofErr w:type="gramEnd"/>
      <w:r w:rsidRPr="00483CFC">
        <w:rPr>
          <w:rFonts w:ascii="Cambria" w:eastAsia="Arial" w:hAnsi="Cambria" w:cs="Arial"/>
          <w:color w:val="222222"/>
          <w:sz w:val="24"/>
          <w:szCs w:val="24"/>
        </w:rPr>
        <w:t xml:space="preserve"> (tutti i versanti, casa, lavoro ed educazione comprese)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area dell'età adulta in difficoltà e senza fissa dimora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inclusione sociale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"Più in generale, ogni occasione di lavoro di tirocinio e ricerca su campo in cui la indagine debba o possa essere inquadrata in prospettiva storica, ossia longitudinale, e comparativa (enti e politiche da valutare in relazione a continuità e rotture, mutamenti positivi o negativi, inerzie e resistenze etc."</w:t>
      </w:r>
    </w:p>
    <w:p w:rsidR="00080409" w:rsidRPr="00483CFC" w:rsidRDefault="00080409" w:rsidP="00483CFC">
      <w:pPr>
        <w:jc w:val="both"/>
        <w:rPr>
          <w:rFonts w:ascii="Cambria" w:hAnsi="Cambria"/>
          <w:sz w:val="24"/>
          <w:szCs w:val="24"/>
        </w:rPr>
      </w:pPr>
    </w:p>
    <w:p w:rsidR="00080409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Rei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(Integrazione sociosanitaria dei servizi)</w:t>
      </w:r>
      <w:r w:rsidRPr="00483CFC">
        <w:rPr>
          <w:rFonts w:ascii="Cambria" w:hAnsi="Cambria"/>
          <w:b/>
          <w:sz w:val="24"/>
          <w:szCs w:val="24"/>
        </w:rPr>
        <w:t>:</w:t>
      </w:r>
    </w:p>
    <w:p w:rsidR="00080409" w:rsidRPr="00483CFC" w:rsidRDefault="00080409" w:rsidP="00483CFC">
      <w:pPr>
        <w:shd w:val="clear" w:color="auto" w:fill="FFFFFF"/>
        <w:spacing w:before="280" w:after="28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-integrazione sociosanitaria in contesti di accoglienza ai richiedenti asilo e rifugiati</w:t>
      </w:r>
    </w:p>
    <w:p w:rsidR="00080409" w:rsidRPr="00483CFC" w:rsidRDefault="00080409" w:rsidP="00483CFC">
      <w:pPr>
        <w:shd w:val="clear" w:color="auto" w:fill="FFFFFF"/>
        <w:spacing w:after="28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-integrazione dei servizi in aree marginali e interne del territorio piemontese</w:t>
      </w:r>
    </w:p>
    <w:p w:rsidR="00080409" w:rsidRPr="00483CFC" w:rsidRDefault="00080409" w:rsidP="00483CFC">
      <w:pPr>
        <w:shd w:val="clear" w:color="auto" w:fill="FFFFFF"/>
        <w:spacing w:after="28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-innovazioni nelle politiche di welfare attraverso l'attivazione di cooperative sociali imprese sociali ed altri enti del terzo settore</w:t>
      </w:r>
      <w:bookmarkStart w:id="1" w:name="_gjdgxs" w:colFirst="0" w:colLast="0"/>
      <w:bookmarkEnd w:id="1"/>
    </w:p>
    <w:p w:rsidR="00080409" w:rsidRPr="00483CFC" w:rsidRDefault="00080409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Fedi</w:t>
      </w:r>
      <w:r w:rsidR="00483CFC">
        <w:rPr>
          <w:rFonts w:ascii="Cambria" w:hAnsi="Cambria"/>
          <w:b/>
          <w:sz w:val="24"/>
          <w:szCs w:val="24"/>
        </w:rPr>
        <w:t xml:space="preserve"> (psicologia dei gruppi)</w:t>
      </w:r>
      <w:r w:rsidRPr="00483CFC">
        <w:rPr>
          <w:rFonts w:ascii="Cambria" w:hAnsi="Cambria"/>
          <w:b/>
          <w:sz w:val="24"/>
          <w:szCs w:val="24"/>
        </w:rPr>
        <w:t>:</w:t>
      </w:r>
    </w:p>
    <w:p w:rsidR="00080409" w:rsidRPr="00483CFC" w:rsidRDefault="00080409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 xml:space="preserve">il lavoro di comunità (intesa come comunità territoriale), interventi di </w:t>
      </w:r>
      <w:proofErr w:type="spellStart"/>
      <w:r w:rsidRPr="00483CFC">
        <w:rPr>
          <w:rFonts w:ascii="Cambria" w:eastAsia="Arial" w:hAnsi="Cambria" w:cs="Arial"/>
          <w:color w:val="222222"/>
          <w:sz w:val="24"/>
          <w:szCs w:val="24"/>
        </w:rPr>
        <w:t>empowerment</w:t>
      </w:r>
      <w:proofErr w:type="spellEnd"/>
      <w:r w:rsidRPr="00483CFC">
        <w:rPr>
          <w:rFonts w:ascii="Cambria" w:eastAsia="Arial" w:hAnsi="Cambria" w:cs="Arial"/>
          <w:color w:val="222222"/>
          <w:sz w:val="24"/>
          <w:szCs w:val="24"/>
        </w:rPr>
        <w:t>, di promozione della salute.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color w:val="222222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222222"/>
          <w:sz w:val="24"/>
          <w:szCs w:val="24"/>
          <w:highlight w:val="white"/>
        </w:rPr>
        <w:t xml:space="preserve">Inoltre aspetti di interesse comune sono quelli classici della psicologia sociale dei gruppi: gli stereotipi e il pregiudizio, le relazioni intra ed </w:t>
      </w:r>
      <w:proofErr w:type="spellStart"/>
      <w:r w:rsidRPr="00483CFC">
        <w:rPr>
          <w:rFonts w:ascii="Cambria" w:eastAsia="Arial" w:hAnsi="Cambria" w:cs="Arial"/>
          <w:color w:val="222222"/>
          <w:sz w:val="24"/>
          <w:szCs w:val="24"/>
          <w:highlight w:val="white"/>
        </w:rPr>
        <w:t>intergruppi</w:t>
      </w:r>
      <w:proofErr w:type="spellEnd"/>
      <w:r w:rsidRPr="00483CFC">
        <w:rPr>
          <w:rFonts w:ascii="Cambria" w:eastAsia="Arial" w:hAnsi="Cambria" w:cs="Arial"/>
          <w:color w:val="222222"/>
          <w:sz w:val="24"/>
          <w:szCs w:val="24"/>
          <w:highlight w:val="white"/>
        </w:rPr>
        <w:t>, la formazione incentrata sul gruppo ed il team building.</w:t>
      </w:r>
    </w:p>
    <w:p w:rsidR="00080409" w:rsidRPr="00483CFC" w:rsidRDefault="00080409" w:rsidP="00483CFC">
      <w:pPr>
        <w:jc w:val="both"/>
        <w:rPr>
          <w:rFonts w:ascii="Cambria" w:eastAsia="Arial" w:hAnsi="Cambria" w:cs="Arial"/>
          <w:b/>
          <w:color w:val="222222"/>
          <w:sz w:val="24"/>
          <w:szCs w:val="24"/>
          <w:highlight w:val="white"/>
        </w:rPr>
      </w:pPr>
      <w:proofErr w:type="spellStart"/>
      <w:r w:rsidRPr="00483CFC">
        <w:rPr>
          <w:rFonts w:ascii="Cambria" w:eastAsia="Arial" w:hAnsi="Cambria" w:cs="Arial"/>
          <w:b/>
          <w:color w:val="222222"/>
          <w:sz w:val="24"/>
          <w:szCs w:val="24"/>
          <w:highlight w:val="white"/>
        </w:rPr>
        <w:t>Naldini</w:t>
      </w:r>
      <w:proofErr w:type="spellEnd"/>
      <w:r w:rsidR="00483CFC">
        <w:rPr>
          <w:rFonts w:ascii="Cambria" w:eastAsia="Arial" w:hAnsi="Cambria" w:cs="Arial"/>
          <w:b/>
          <w:color w:val="222222"/>
          <w:sz w:val="24"/>
          <w:szCs w:val="24"/>
          <w:highlight w:val="white"/>
        </w:rPr>
        <w:t xml:space="preserve"> (Sistemi di welfare)</w:t>
      </w:r>
      <w:r w:rsidRPr="00483CFC">
        <w:rPr>
          <w:rFonts w:ascii="Cambria" w:eastAsia="Arial" w:hAnsi="Cambria" w:cs="Arial"/>
          <w:b/>
          <w:color w:val="222222"/>
          <w:sz w:val="24"/>
          <w:szCs w:val="24"/>
          <w:highlight w:val="white"/>
        </w:rPr>
        <w:t>: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- Nuove famiglie (famiglie monoparentali, famiglie migranti, famiglie </w:t>
      </w:r>
      <w:proofErr w:type="spellStart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omogenitoriali</w:t>
      </w:r>
      <w:proofErr w:type="spellEnd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, famiglie separate e ricostituite, famiglie con padri innovatori sul versante della cura)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- Nuove famiglie e barriere </w:t>
      </w:r>
      <w:proofErr w:type="gramStart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istituzionali:  Quali</w:t>
      </w:r>
      <w:proofErr w:type="gramEnd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 sono gli ostacoli  istituzionali che incontrano nell'interfacciarsi con i servizi e la scuola?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- Politiche familiari a livello nazionale e locale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- Genitori di fronte ai cambiamenti sociali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- Genere, lavoro, </w:t>
      </w:r>
      <w:proofErr w:type="gramStart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migrazione  e</w:t>
      </w:r>
      <w:proofErr w:type="gramEnd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 vulnerabilità sociale (con particolare riguardo alle madri immigrate)</w:t>
      </w:r>
    </w:p>
    <w:p w:rsidR="00080409" w:rsidRPr="00483CFC" w:rsidRDefault="00080409" w:rsidP="00483CFC">
      <w:pPr>
        <w:spacing w:before="100" w:after="100" w:line="240" w:lineRule="auto"/>
        <w:jc w:val="both"/>
        <w:rPr>
          <w:rFonts w:ascii="Cambria" w:eastAsia="Arial" w:hAnsi="Cambria" w:cs="Arial"/>
          <w:color w:val="500050"/>
          <w:sz w:val="24"/>
          <w:szCs w:val="24"/>
          <w:highlight w:val="white"/>
        </w:rPr>
      </w:pPr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 xml:space="preserve">- Riproduzione assistita e Maternità surrogata: le nuove frontiere della </w:t>
      </w:r>
      <w:proofErr w:type="spellStart"/>
      <w:r w:rsidRPr="00483CFC">
        <w:rPr>
          <w:rFonts w:ascii="Cambria" w:eastAsia="Arial" w:hAnsi="Cambria" w:cs="Arial"/>
          <w:color w:val="500050"/>
          <w:sz w:val="24"/>
          <w:szCs w:val="24"/>
          <w:highlight w:val="white"/>
        </w:rPr>
        <w:t>genitorialita'</w:t>
      </w:r>
      <w:proofErr w:type="spellEnd"/>
    </w:p>
    <w:p w:rsidR="00080409" w:rsidRPr="00483CFC" w:rsidRDefault="00080409" w:rsidP="00483CFC">
      <w:pPr>
        <w:shd w:val="clear" w:color="auto" w:fill="FFFFFF"/>
        <w:spacing w:before="100" w:after="10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Relazione tra le generazioni (con attenzione al rapporto nonni-nipoti) e politiche per il sostegno.</w:t>
      </w:r>
    </w:p>
    <w:p w:rsidR="00080409" w:rsidRPr="00483CFC" w:rsidRDefault="00080409" w:rsidP="00483CFC">
      <w:pPr>
        <w:jc w:val="both"/>
        <w:rPr>
          <w:rFonts w:ascii="Cambria" w:hAnsi="Cambria"/>
          <w:b/>
          <w:sz w:val="24"/>
          <w:szCs w:val="24"/>
        </w:rPr>
      </w:pPr>
    </w:p>
    <w:p w:rsidR="00080409" w:rsidRPr="00483CFC" w:rsidRDefault="00625732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Busso</w:t>
      </w:r>
      <w:r w:rsidR="00483CFC">
        <w:rPr>
          <w:rFonts w:ascii="Cambria" w:hAnsi="Cambria"/>
          <w:b/>
          <w:sz w:val="24"/>
          <w:szCs w:val="24"/>
        </w:rPr>
        <w:t xml:space="preserve"> (Disuguaglianze sociali, vulnerabilità e politiche)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 xml:space="preserve">Sostegno al reddito a livello locale </w:t>
      </w:r>
      <w:proofErr w:type="gramStart"/>
      <w:r w:rsidRPr="00483CFC">
        <w:rPr>
          <w:rFonts w:ascii="Cambria" w:hAnsi="Cambria" w:cs="Calibri"/>
          <w:color w:val="222222"/>
        </w:rPr>
        <w:t>e  nazionale</w:t>
      </w:r>
      <w:proofErr w:type="gramEnd"/>
      <w:r w:rsidRPr="00483CFC">
        <w:rPr>
          <w:rFonts w:ascii="Cambria" w:hAnsi="Cambria" w:cs="Calibri"/>
          <w:color w:val="222222"/>
        </w:rPr>
        <w:t xml:space="preserve"> (REI)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>Politiche di attivazione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proofErr w:type="spellStart"/>
      <w:r w:rsidRPr="00483CFC">
        <w:rPr>
          <w:rFonts w:ascii="Cambria" w:hAnsi="Cambria" w:cs="Calibri"/>
          <w:color w:val="222222"/>
        </w:rPr>
        <w:lastRenderedPageBreak/>
        <w:t>Governance</w:t>
      </w:r>
      <w:proofErr w:type="spellEnd"/>
      <w:r w:rsidRPr="00483CFC">
        <w:rPr>
          <w:rFonts w:ascii="Cambria" w:hAnsi="Cambria" w:cs="Calibri"/>
          <w:color w:val="222222"/>
        </w:rPr>
        <w:t xml:space="preserve"> locale delle politiche sociali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>Il terzo settore e le sue trasformazioni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>Dati, cartelle informatizzate e sistemi informativi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 xml:space="preserve">Welfare aziendale </w:t>
      </w:r>
      <w:proofErr w:type="gramStart"/>
      <w:r w:rsidRPr="00483CFC">
        <w:rPr>
          <w:rFonts w:ascii="Cambria" w:hAnsi="Cambria" w:cs="Calibri"/>
          <w:color w:val="222222"/>
        </w:rPr>
        <w:t>e “</w:t>
      </w:r>
      <w:proofErr w:type="gramEnd"/>
      <w:r w:rsidRPr="00483CFC">
        <w:rPr>
          <w:rFonts w:ascii="Cambria" w:hAnsi="Cambria" w:cs="Calibri"/>
          <w:color w:val="222222"/>
        </w:rPr>
        <w:t>secondo welfare”. Problematiche aperte, criticità, potenzialità e rischi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>Servizi come sistemi di controllo, disciplina e regolazione. Dispositivi di sanzione e condizionalità</w:t>
      </w:r>
    </w:p>
    <w:p w:rsidR="00625732" w:rsidRPr="00483CFC" w:rsidRDefault="00625732" w:rsidP="00483CFC">
      <w:pPr>
        <w:pStyle w:val="m7598469670402861371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mbria" w:hAnsi="Cambria" w:cs="Calibri"/>
          <w:color w:val="222222"/>
        </w:rPr>
      </w:pPr>
      <w:r w:rsidRPr="00483CFC">
        <w:rPr>
          <w:rFonts w:ascii="Cambria" w:hAnsi="Cambria" w:cs="Calibri"/>
          <w:color w:val="222222"/>
        </w:rPr>
        <w:t>La finanziarizzazione delle politiche sociali, nuove forme di finanziamento e utilizzo di capitali</w:t>
      </w:r>
    </w:p>
    <w:p w:rsidR="00625732" w:rsidRPr="00483CFC" w:rsidRDefault="00625732" w:rsidP="00483CFC">
      <w:pPr>
        <w:jc w:val="both"/>
        <w:rPr>
          <w:rFonts w:ascii="Cambria" w:hAnsi="Cambria"/>
          <w:sz w:val="24"/>
          <w:szCs w:val="24"/>
        </w:rPr>
      </w:pPr>
    </w:p>
    <w:p w:rsidR="00683382" w:rsidRPr="00483CFC" w:rsidRDefault="00683382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Motta</w:t>
      </w:r>
      <w:r w:rsidR="00483CFC">
        <w:rPr>
          <w:rFonts w:ascii="Cambria" w:hAnsi="Cambria"/>
          <w:b/>
          <w:sz w:val="24"/>
          <w:szCs w:val="24"/>
        </w:rPr>
        <w:t xml:space="preserve"> (Integrazione sociosanitaria dei servizi)</w:t>
      </w:r>
      <w:r w:rsidRPr="00483CFC">
        <w:rPr>
          <w:rFonts w:ascii="Cambria" w:hAnsi="Cambria"/>
          <w:b/>
          <w:sz w:val="24"/>
          <w:szCs w:val="24"/>
        </w:rPr>
        <w:t>:</w:t>
      </w:r>
    </w:p>
    <w:p w:rsidR="00683382" w:rsidRPr="00683382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  <w:r w:rsidR="005C762B"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 xml:space="preserve">- </w:t>
      </w: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povertà e misure/politiche </w:t>
      </w: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di</w:t>
      </w: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contrasto</w:t>
      </w:r>
    </w:p>
    <w:p w:rsidR="00683382" w:rsidRPr="00683382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- non autosufficienza e politiche/servizi relativi</w:t>
      </w:r>
    </w:p>
    <w:p w:rsidR="00683382" w:rsidRPr="00683382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- integrazioni tra sanità e sociale</w:t>
      </w:r>
    </w:p>
    <w:p w:rsidR="00683382" w:rsidRPr="00683382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- sistemi informativi nel welfare</w:t>
      </w:r>
    </w:p>
    <w:p w:rsidR="00683382" w:rsidRPr="00683382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- diritti alle prestazioni </w:t>
      </w:r>
      <w:r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di</w:t>
      </w: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welfare</w:t>
      </w:r>
    </w:p>
    <w:p w:rsidR="00683382" w:rsidRPr="00483CFC" w:rsidRDefault="00683382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 w:rsidRPr="00683382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- organizzazione dei servizi sociali e sociosanitar</w:t>
      </w:r>
      <w:r w:rsidR="003144D3" w:rsidRPr="00483CFC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i</w:t>
      </w:r>
    </w:p>
    <w:p w:rsidR="003144D3" w:rsidRPr="00483CFC" w:rsidRDefault="003144D3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</w:p>
    <w:p w:rsidR="003144D3" w:rsidRPr="00483CFC" w:rsidRDefault="003144D3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</w:p>
    <w:p w:rsidR="003144D3" w:rsidRPr="00483CFC" w:rsidRDefault="003144D3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</w:p>
    <w:p w:rsidR="003144D3" w:rsidRPr="00483CFC" w:rsidRDefault="003144D3" w:rsidP="00483CF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</w:p>
    <w:p w:rsidR="003144D3" w:rsidRDefault="003144D3" w:rsidP="00483CFC">
      <w:pPr>
        <w:jc w:val="both"/>
        <w:rPr>
          <w:rFonts w:ascii="Cambria" w:hAnsi="Cambria"/>
          <w:b/>
          <w:sz w:val="24"/>
          <w:szCs w:val="24"/>
        </w:rPr>
      </w:pPr>
      <w:r w:rsidRPr="00483CFC">
        <w:rPr>
          <w:rFonts w:ascii="Cambria" w:hAnsi="Cambria"/>
          <w:b/>
          <w:sz w:val="24"/>
          <w:szCs w:val="24"/>
        </w:rPr>
        <w:t>PREGNO</w:t>
      </w:r>
      <w:r w:rsidR="00483CFC">
        <w:rPr>
          <w:rFonts w:ascii="Cambria" w:hAnsi="Cambria"/>
          <w:b/>
          <w:sz w:val="24"/>
          <w:szCs w:val="24"/>
        </w:rPr>
        <w:t xml:space="preserve"> (Servizio Sociale e innovazione professionale)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il maltrattamento agli anziani: la segnalazione; indagine sulle relazioni inviate alla Procura Fasce Deboli in un determinato periodo di tempo [luogo di svolgimento del tirocinio: Ufficio di Servizio Sociale presso Procura]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il maltrattamento agli anziani: le rappresentazioni; che cosa pensano gli assistenti sociali del maltrattamento, come lo riconoscono [luogo: servizi sociali territoriali, ASL (ospedali, continuità assistenziale)]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il tempo nel processo di aiuto: ricerca sulle prese in carico prolungate nel tempo, interventi e risultati [luogo: servizi sociali territoriali]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 xml:space="preserve">- il tempo nel processo di aiuto: </w:t>
      </w:r>
      <w:proofErr w:type="spellStart"/>
      <w:r w:rsidRPr="00483CFC">
        <w:rPr>
          <w:rFonts w:ascii="Cambria" w:eastAsia="Arial" w:hAnsi="Cambria" w:cs="Arial"/>
          <w:color w:val="222222"/>
          <w:sz w:val="24"/>
          <w:szCs w:val="24"/>
        </w:rPr>
        <w:t>follow</w:t>
      </w:r>
      <w:proofErr w:type="spellEnd"/>
      <w:r w:rsidRPr="00483CFC">
        <w:rPr>
          <w:rFonts w:ascii="Cambria" w:eastAsia="Arial" w:hAnsi="Cambria" w:cs="Arial"/>
          <w:color w:val="222222"/>
          <w:sz w:val="24"/>
          <w:szCs w:val="24"/>
        </w:rPr>
        <w:t xml:space="preserve"> up sugli interventi, 5 anni dopo [come è andato a finire l'affidamento, l'inserimento in comunità, l'assistenza economica, il problema abitativo, ecc....] [luogo: servizi sociali territoriali] 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la valutazione del rischio: ricerca sugli strumenti e sulle modalità utilizzate per definire una situazione rischiosa [luogo: servizi sociali territoriali, ASL]</w:t>
      </w:r>
    </w:p>
    <w:p w:rsidR="00483CFC" w:rsidRPr="00483CFC" w:rsidRDefault="00483CFC" w:rsidP="00483CFC">
      <w:pPr>
        <w:shd w:val="clear" w:color="auto" w:fill="FFFFFF"/>
        <w:spacing w:after="0" w:line="240" w:lineRule="auto"/>
        <w:jc w:val="both"/>
        <w:rPr>
          <w:rFonts w:ascii="Cambria" w:eastAsia="Arial" w:hAnsi="Cambria" w:cs="Arial"/>
          <w:color w:val="222222"/>
          <w:sz w:val="24"/>
          <w:szCs w:val="24"/>
        </w:rPr>
      </w:pPr>
      <w:r w:rsidRPr="00483CFC">
        <w:rPr>
          <w:rFonts w:ascii="Cambria" w:eastAsia="Arial" w:hAnsi="Cambria" w:cs="Arial"/>
          <w:color w:val="222222"/>
          <w:sz w:val="24"/>
          <w:szCs w:val="24"/>
        </w:rPr>
        <w:t>- la soddisfazione del cliente: si rileva nei servizi sociali? se sì, con quali strumenti [servizi sociali territoriali, ASL].</w:t>
      </w:r>
    </w:p>
    <w:p w:rsidR="00483CFC" w:rsidRPr="00483CFC" w:rsidRDefault="00483CFC" w:rsidP="00483CFC">
      <w:pPr>
        <w:jc w:val="both"/>
        <w:rPr>
          <w:rFonts w:ascii="Cambria" w:hAnsi="Cambria"/>
          <w:b/>
          <w:sz w:val="24"/>
          <w:szCs w:val="24"/>
        </w:rPr>
      </w:pPr>
    </w:p>
    <w:p w:rsidR="00683382" w:rsidRPr="00483CFC" w:rsidRDefault="00683382" w:rsidP="00483CFC">
      <w:pPr>
        <w:jc w:val="both"/>
        <w:rPr>
          <w:rFonts w:ascii="Cambria" w:hAnsi="Cambria"/>
          <w:sz w:val="24"/>
          <w:szCs w:val="24"/>
        </w:rPr>
      </w:pPr>
    </w:p>
    <w:sectPr w:rsidR="00683382" w:rsidRPr="00483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809"/>
    <w:multiLevelType w:val="hybridMultilevel"/>
    <w:tmpl w:val="58A2D212"/>
    <w:lvl w:ilvl="0" w:tplc="503A36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59D"/>
    <w:multiLevelType w:val="hybridMultilevel"/>
    <w:tmpl w:val="FF40EB82"/>
    <w:lvl w:ilvl="0" w:tplc="503A3644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06CED"/>
    <w:multiLevelType w:val="hybridMultilevel"/>
    <w:tmpl w:val="43DCE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4"/>
    <w:rsid w:val="00080409"/>
    <w:rsid w:val="00117993"/>
    <w:rsid w:val="00166C24"/>
    <w:rsid w:val="003144D3"/>
    <w:rsid w:val="00483CFC"/>
    <w:rsid w:val="0053048C"/>
    <w:rsid w:val="00544BA1"/>
    <w:rsid w:val="005C762B"/>
    <w:rsid w:val="00625732"/>
    <w:rsid w:val="00683382"/>
    <w:rsid w:val="008F7F5D"/>
    <w:rsid w:val="00B069CF"/>
    <w:rsid w:val="00C5214B"/>
    <w:rsid w:val="00DC42BE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E54A"/>
  <w15:chartTrackingRefBased/>
  <w15:docId w15:val="{4EE0EEC7-970B-4D49-A1BC-F4F0E15E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166C24"/>
  </w:style>
  <w:style w:type="paragraph" w:styleId="NormaleWeb">
    <w:name w:val="Normal (Web)"/>
    <w:basedOn w:val="Normale"/>
    <w:uiPriority w:val="99"/>
    <w:semiHidden/>
    <w:unhideWhenUsed/>
    <w:rsid w:val="001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598469670402861371gmail-msolistparagraph">
    <w:name w:val="m_7598469670402861371gmail-msolistparagraph"/>
    <w:basedOn w:val="Normale"/>
    <w:rsid w:val="0062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44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2017-08-02T14:58:00Z</dcterms:created>
  <dcterms:modified xsi:type="dcterms:W3CDTF">2018-10-10T15:30:00Z</dcterms:modified>
</cp:coreProperties>
</file>